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de superficie V3.5</w:t>
      </w:r>
    </w:p>
    <w:p/>
    <w:p>
      <w:pPr/>
      <w:r>
        <w:rPr/>
        <w:t xml:space="preserve">Dimensiones (long. x anch. x alt.): 62 x 123 x 123 mm;Con detector de movimiento: Sí;Garantía de fabricante: 5 años;Configuración mediante: Bluetooth Mesh;Con mando a distancia: No;Variante: KNX - de superficie;UE1, EAN: 4007841086459;Acabado: Detector de presencia;Aplicación, lugar: Interior;Aplicación, sala: Interior, Recibidor/pasillo;Color: Blanco;Color, RAL: 9003;Incluye soporte esquinero de pared: No;Lugar de instalación: Techo;Tipo de montaje: De superficie, Techo;Índice de protección: IP 20;Temperatura ambiente: de -25 a 50 °C;Material: Plástico;Con acoplamiento de bus: Sí;Tecnología, sensores: Alta frecuencia, Medición de luz mixta;Altura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mW;Regulación crepuscular: 2 – 2000 lx;Temporización: 0 s – 1092 min;Función de luz de cortesía: Sí;Luz principal regulable: Sí;Regulación crepuscular aprendizaje: Sí;Interconexión: Sí;Interconexión vía: Bluetooth Mesh;Corriente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KNX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2026-09-30T09:33:05+02:00</dcterms:created>
  <dcterms:modified xsi:type="dcterms:W3CDTF">2026-09-30T09:33:05+02:00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